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65" w:rsidRDefault="005C167D">
      <w:pPr>
        <w:pStyle w:val="1"/>
        <w:numPr>
          <w:ilvl w:val="0"/>
          <w:numId w:val="4"/>
        </w:numPr>
      </w:pPr>
      <w:r>
        <w:t xml:space="preserve">АНАЛИЗ ИСПОЛНЕНИЯ СМЕТЫ РАСХОДОВ </w:t>
      </w:r>
      <w:r>
        <w:tab/>
        <w:t>И ФИНАНСОВО - ХОЗЯЙСТВЕННОЙ ДЕЯТЕЛЬНОСТИ.</w:t>
      </w:r>
    </w:p>
    <w:p w:rsidR="00274B65" w:rsidRDefault="00274B65">
      <w:pPr>
        <w:tabs>
          <w:tab w:val="left" w:pos="20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B65" w:rsidRDefault="005C167D">
      <w:pPr>
        <w:tabs>
          <w:tab w:val="left" w:pos="660"/>
        </w:tabs>
        <w:spacing w:line="240" w:lineRule="auto"/>
        <w:ind w:firstLin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источниками финансирования уставной деятельности МКУ «Социал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 - реабилитационный центр для несовершеннолетних Яйского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округа» являются субвенции областного бюджета. </w:t>
      </w:r>
    </w:p>
    <w:p w:rsidR="00274B65" w:rsidRDefault="005C167D">
      <w:pPr>
        <w:tabs>
          <w:tab w:val="left" w:pos="660"/>
        </w:tabs>
        <w:spacing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Финансирование учреждения осуществляется в соответствии с утвержденной см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той расходов, через главного распорядителя бюджетных средств - Управление социальной защиты населения Яйского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округа, путем перечисления денежных средств на лицевой счет реабилитационного центра.</w:t>
      </w:r>
    </w:p>
    <w:p w:rsidR="00274B65" w:rsidRDefault="005C167D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2025 года смета расходов доведена до учреждения  в сумме 28924,5 т. рублей. Это на 4443,8 тысяч рублей меньше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в прошлом году.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было </w:t>
      </w:r>
      <w:r>
        <w:rPr>
          <w:rFonts w:ascii="Times New Roman" w:hAnsi="Times New Roman" w:cs="Times New Roman"/>
          <w:sz w:val="24"/>
          <w:szCs w:val="24"/>
        </w:rPr>
        <w:t xml:space="preserve">увеличение сметных назначений на заработную плату - 366,4т. рублей, на коммунальные услуги - 719,7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4B65" w:rsidRDefault="005C167D">
      <w:pPr>
        <w:pStyle w:val="24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начало  2024 года  смета учреждения  составляла 33368,3 тысяч рублей.</w:t>
      </w:r>
    </w:p>
    <w:p w:rsidR="00274B65" w:rsidRDefault="005C167D">
      <w:pPr>
        <w:pStyle w:val="24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Уменьшение сметных ассигнований связано с уменьшением  Фонда оплаты труд</w:t>
      </w:r>
      <w:r>
        <w:rPr>
          <w:rFonts w:ascii="Times New Roman" w:hAnsi="Times New Roman" w:cs="Times New Roman"/>
          <w:sz w:val="24"/>
          <w:szCs w:val="24"/>
        </w:rPr>
        <w:t>а на 10% и уменьшение прочих расходов.</w:t>
      </w:r>
    </w:p>
    <w:p w:rsidR="00274B65" w:rsidRDefault="005C167D">
      <w:pPr>
        <w:pStyle w:val="24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Доля заработной платы в общей сумме ассигнований составляет в 2025 году 83 %. </w:t>
      </w:r>
    </w:p>
    <w:p w:rsidR="00274B65" w:rsidRDefault="005C167D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Финансирование за 12 месяцев 2025 года составило 27509,5 тыс. руб., это 91 % от общей суммы ассигнований.  Остаток ассигнований составля</w:t>
      </w:r>
      <w:r>
        <w:rPr>
          <w:rFonts w:ascii="Times New Roman" w:hAnsi="Times New Roman" w:cs="Times New Roman"/>
          <w:sz w:val="24"/>
          <w:szCs w:val="24"/>
        </w:rPr>
        <w:t>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2501,1 тыс.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274B65" w:rsidRDefault="005C167D">
      <w:pPr>
        <w:tabs>
          <w:tab w:val="left" w:pos="66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Сметные ассигнования на содержание учреждения (целевые статьи)</w:t>
      </w:r>
    </w:p>
    <w:tbl>
      <w:tblPr>
        <w:tblW w:w="9252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3492"/>
        <w:gridCol w:w="1985"/>
        <w:gridCol w:w="1984"/>
        <w:gridCol w:w="1791"/>
      </w:tblGrid>
      <w:tr w:rsidR="00274B65">
        <w:trPr>
          <w:trHeight w:val="25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141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274B65" w:rsidRDefault="005C167D">
            <w:pPr>
              <w:tabs>
                <w:tab w:val="left" w:pos="141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 месяцев)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 месяцев)</w:t>
            </w:r>
          </w:p>
        </w:tc>
        <w:tc>
          <w:tcPr>
            <w:tcW w:w="1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(11 месяцев)</w:t>
            </w:r>
          </w:p>
        </w:tc>
      </w:tr>
      <w:tr w:rsidR="00274B65">
        <w:trPr>
          <w:trHeight w:val="25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Сметные ассигнования всего,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31 246 400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34 275 900</w:t>
            </w:r>
          </w:p>
        </w:tc>
        <w:tc>
          <w:tcPr>
            <w:tcW w:w="1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30 010 600</w:t>
            </w:r>
          </w:p>
        </w:tc>
      </w:tr>
      <w:tr w:rsidR="00274B65">
        <w:trPr>
          <w:trHeight w:val="25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заработную плату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23 110 700 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(74 %)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26 524 900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(77 %)</w:t>
            </w:r>
          </w:p>
        </w:tc>
        <w:tc>
          <w:tcPr>
            <w:tcW w:w="1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24 526 700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(81 %)</w:t>
            </w:r>
          </w:p>
          <w:p w:rsidR="00274B65" w:rsidRDefault="00274B65">
            <w:pPr>
              <w:jc w:val="center"/>
            </w:pPr>
          </w:p>
        </w:tc>
      </w:tr>
      <w:tr w:rsidR="00274B65">
        <w:trPr>
          <w:trHeight w:val="25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электроэнергию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372 192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769 159</w:t>
            </w:r>
          </w:p>
        </w:tc>
        <w:tc>
          <w:tcPr>
            <w:tcW w:w="1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1 224 039</w:t>
            </w:r>
          </w:p>
        </w:tc>
      </w:tr>
      <w:tr w:rsidR="00274B65">
        <w:trPr>
          <w:trHeight w:val="25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коммунальные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712 674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345 900</w:t>
            </w:r>
          </w:p>
        </w:tc>
        <w:tc>
          <w:tcPr>
            <w:tcW w:w="1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580 561</w:t>
            </w:r>
          </w:p>
        </w:tc>
      </w:tr>
      <w:tr w:rsidR="00274B65">
        <w:trPr>
          <w:trHeight w:val="25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2 750 000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2 750 200</w:t>
            </w:r>
          </w:p>
        </w:tc>
        <w:tc>
          <w:tcPr>
            <w:tcW w:w="1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2 750 200</w:t>
            </w:r>
          </w:p>
        </w:tc>
      </w:tr>
    </w:tbl>
    <w:p w:rsidR="00274B65" w:rsidRDefault="00274B65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pStyle w:val="24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Из данных, приведенных в таблице, видно, что сумма сметных ассигнований на протяжении трех лет увеличивается. Что касается заработной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платы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данных таблицы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видно,что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сравнению с 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годом,уменьшение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ФОТ на 10%.</w:t>
      </w:r>
    </w:p>
    <w:p w:rsidR="00274B65" w:rsidRDefault="005C167D">
      <w:pPr>
        <w:pStyle w:val="24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4B65" w:rsidRDefault="005C167D">
      <w:pPr>
        <w:pStyle w:val="24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Сумма доведенных ассигнований и и</w:t>
      </w:r>
      <w:r>
        <w:rPr>
          <w:rFonts w:ascii="Times New Roman" w:hAnsi="Times New Roman" w:cs="Times New Roman"/>
          <w:sz w:val="24"/>
          <w:szCs w:val="24"/>
        </w:rPr>
        <w:t>х фактическое исполнение приведены в та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лице №1 «Исполнение сметы».</w:t>
      </w:r>
    </w:p>
    <w:tbl>
      <w:tblPr>
        <w:tblpPr w:leftFromText="180" w:rightFromText="180" w:vertAnchor="text" w:horzAnchor="page" w:tblpX="1129" w:tblpY="216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756"/>
        <w:gridCol w:w="1613"/>
        <w:gridCol w:w="1756"/>
        <w:gridCol w:w="1719"/>
      </w:tblGrid>
      <w:tr w:rsidR="00274B65">
        <w:trPr>
          <w:trHeight w:val="124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Коды по ЭКР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митов бюдже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 обяз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</w:t>
            </w:r>
          </w:p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2025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расход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исполнения</w:t>
            </w:r>
          </w:p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бюджетных</w:t>
            </w:r>
          </w:p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Остаток по 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митам</w:t>
            </w:r>
          </w:p>
          <w:p w:rsidR="00274B65" w:rsidRDefault="005C167D">
            <w:pPr>
              <w:tabs>
                <w:tab w:val="left" w:pos="2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бюджетных 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зательств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211 (оплата труда)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18 687,7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17 255,9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1431,8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ind w:hanging="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 (социальные пособия и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пенсация персоналу в денежной форме)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 (начисления на выплаты по оплате труда)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5 689,0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930,2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221(услуги связи)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 (242) работы, услуги по соде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жанию имущества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 (242)прочие, работы услуги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223 (244)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коммунальные услуги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223 (247)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теплоэнергия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электр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1795,5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 (244) работы, услуги по соде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жанию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 (244) прочие работы, услуги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 (244) страхование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 (244)  медикаменты)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99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342 (244)</w:t>
            </w:r>
          </w:p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(продукты питания)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2 750,2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2750,2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 (244)   ГСМ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33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345 (244)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74B65">
        <w:trPr>
          <w:trHeight w:val="34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346 (244) прочие оборотные запасы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74B65">
        <w:trPr>
          <w:trHeight w:val="31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291 (851)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74B65">
        <w:trPr>
          <w:trHeight w:val="29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291(852)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74B65">
        <w:trPr>
          <w:trHeight w:val="26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 (112)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74B65">
        <w:trPr>
          <w:trHeight w:val="29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ИТОГО: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30010,6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27643,5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20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2367,1</w:t>
            </w:r>
          </w:p>
        </w:tc>
      </w:tr>
    </w:tbl>
    <w:p w:rsidR="00274B65" w:rsidRDefault="00274B65">
      <w:pPr>
        <w:tabs>
          <w:tab w:val="left" w:pos="660"/>
        </w:tabs>
        <w:jc w:val="both"/>
        <w:rPr>
          <w:color w:val="FF0000"/>
          <w:sz w:val="28"/>
          <w:szCs w:val="28"/>
        </w:rPr>
      </w:pPr>
    </w:p>
    <w:p w:rsidR="00274B65" w:rsidRDefault="005C167D">
      <w:pPr>
        <w:tabs>
          <w:tab w:val="left" w:pos="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Все договоры в Учреждении заключаются в соответствии с Федеральным  Законом № 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5 апреля 2013 года «О контрактной системе в сфере закупок, товаров и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B65" w:rsidRDefault="005C167D">
      <w:pPr>
        <w:tabs>
          <w:tab w:val="left" w:pos="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4B65" w:rsidRDefault="005C167D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происходит перераспределение </w:t>
      </w:r>
      <w:r>
        <w:rPr>
          <w:rFonts w:ascii="Times New Roman" w:hAnsi="Times New Roman" w:cs="Times New Roman"/>
          <w:sz w:val="24"/>
          <w:szCs w:val="24"/>
        </w:rPr>
        <w:t>лимитов. Не стал исключением 2025 год. Сумма незапланированных расходов составила 40,2 тысяч рублей</w:t>
      </w:r>
    </w:p>
    <w:p w:rsidR="00274B65" w:rsidRDefault="005C167D">
      <w:pPr>
        <w:pStyle w:val="aff8"/>
        <w:numPr>
          <w:ilvl w:val="0"/>
          <w:numId w:val="7"/>
        </w:numPr>
        <w:tabs>
          <w:tab w:val="left" w:pos="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Промывка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внутренних систем отопления - 10,0</w:t>
      </w:r>
    </w:p>
    <w:p w:rsidR="00274B65" w:rsidRDefault="005C167D">
      <w:pPr>
        <w:pStyle w:val="aff8"/>
        <w:numPr>
          <w:ilvl w:val="0"/>
          <w:numId w:val="7"/>
        </w:numPr>
        <w:tabs>
          <w:tab w:val="left" w:pos="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 - 4,0</w:t>
      </w:r>
    </w:p>
    <w:p w:rsidR="00274B65" w:rsidRDefault="005C167D">
      <w:pPr>
        <w:pStyle w:val="aff8"/>
        <w:numPr>
          <w:ilvl w:val="0"/>
          <w:numId w:val="7"/>
        </w:numPr>
        <w:tabs>
          <w:tab w:val="left" w:pos="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Поверочные работы 26,2</w:t>
      </w:r>
    </w:p>
    <w:p w:rsidR="00274B65" w:rsidRDefault="00274B65">
      <w:pPr>
        <w:tabs>
          <w:tab w:val="left" w:pos="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pStyle w:val="3"/>
        <w:numPr>
          <w:ilvl w:val="2"/>
          <w:numId w:val="2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1.08.2024 года закончился срок исполнения ранее выд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анного предписания. Спорным оказался один пункт предпис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ния - устранение трещин штукатурного слоя в детской душевой. Поверхность была ошт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у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катурена. Начальник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Демидов О.А. посчитал, что отсутствие плитки препятствует санитарной уборке. В 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25 году нарушение устранено полностью.</w:t>
      </w:r>
    </w:p>
    <w:p w:rsidR="00274B65" w:rsidRDefault="005C167D">
      <w:pPr>
        <w:tabs>
          <w:tab w:val="left" w:pos="6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FF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расходы учреждения</w:t>
      </w:r>
    </w:p>
    <w:p w:rsidR="00274B65" w:rsidRDefault="005C167D">
      <w:pPr>
        <w:shd w:val="clear" w:color="auto" w:fill="FFFFFF"/>
        <w:tabs>
          <w:tab w:val="left" w:pos="11265"/>
        </w:tabs>
        <w:spacing w:after="0" w:line="0" w:lineRule="atLeast"/>
        <w:ind w:left="1416"/>
        <w:rPr>
          <w:rFonts w:ascii="Times New Roman" w:hAnsi="Times New Roman" w:cs="Times New Roman"/>
          <w:bCs/>
          <w:i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F497D" w:themeColor="text2"/>
          <w:sz w:val="24"/>
          <w:szCs w:val="24"/>
        </w:rPr>
        <w:tab/>
        <w:t>Таблица № 7</w:t>
      </w:r>
    </w:p>
    <w:tbl>
      <w:tblPr>
        <w:tblW w:w="9776" w:type="dxa"/>
        <w:tblInd w:w="-206" w:type="dxa"/>
        <w:tblLook w:val="04A0" w:firstRow="1" w:lastRow="0" w:firstColumn="1" w:lastColumn="0" w:noHBand="0" w:noVBand="1"/>
      </w:tblPr>
      <w:tblGrid>
        <w:gridCol w:w="2196"/>
        <w:gridCol w:w="1516"/>
        <w:gridCol w:w="1516"/>
        <w:gridCol w:w="1516"/>
        <w:gridCol w:w="1516"/>
        <w:gridCol w:w="1516"/>
      </w:tblGrid>
      <w:tr w:rsidR="00274B65">
        <w:trPr>
          <w:trHeight w:val="25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141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  <w:p w:rsidR="00274B65" w:rsidRDefault="005C167D">
            <w:pPr>
              <w:tabs>
                <w:tab w:val="left" w:pos="141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 месяцев)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141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274B65" w:rsidRDefault="005C167D">
            <w:pPr>
              <w:tabs>
                <w:tab w:val="left" w:pos="141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 месяцев)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 месяцев)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</w:t>
            </w:r>
          </w:p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 месяцев)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 месяцев)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Электротовары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20 300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38 480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32 154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 безопа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21 980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482 640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33 511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ЧОП «Защита и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опасность»</w:t>
            </w:r>
          </w:p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ЧОП «Ирбис»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75 350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140 520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140 520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80 800</w:t>
            </w:r>
          </w:p>
          <w:p w:rsidR="00274B65" w:rsidRDefault="00274B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47 700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101 160</w:t>
            </w:r>
          </w:p>
          <w:p w:rsidR="00274B65" w:rsidRDefault="00274B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68115</w:t>
            </w:r>
          </w:p>
        </w:tc>
      </w:tr>
      <w:tr w:rsidR="00274B65">
        <w:trPr>
          <w:trHeight w:val="66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безопасности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96 029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62 600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85 453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42 450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21836,5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Мягкий инвентарь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32 900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32 200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Медикаменты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60 500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овары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29 137,19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31 600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47 012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32 650</w:t>
            </w:r>
          </w:p>
        </w:tc>
        <w:tc>
          <w:tcPr>
            <w:tcW w:w="1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893 500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2 621 300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2 750 000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2 750 000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2 750 000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риалы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32 633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10 415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67300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22 760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47 245,02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1 470 086 (утепление и облицовка фасада 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дингом)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61 445 (краска, обои)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8 400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25 200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111542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114 744 (ор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техника)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алы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44 959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47 200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61 445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B65">
        <w:trPr>
          <w:trHeight w:val="255"/>
        </w:trPr>
        <w:tc>
          <w:tcPr>
            <w:tcW w:w="2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1 290 035,19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3 156 887,02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5 360 058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3 125 580,23</w:t>
            </w: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3 058 411,5</w:t>
            </w:r>
          </w:p>
        </w:tc>
      </w:tr>
    </w:tbl>
    <w:p w:rsidR="00274B65" w:rsidRDefault="00274B65"/>
    <w:p w:rsidR="00274B65" w:rsidRDefault="00274B65">
      <w:pPr>
        <w:spacing w:after="0"/>
        <w:ind w:firstLine="567"/>
        <w:jc w:val="both"/>
        <w:rPr>
          <w:color w:val="FF0000"/>
          <w:sz w:val="28"/>
          <w:szCs w:val="28"/>
        </w:rPr>
      </w:pP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сравнительной таблицы видно, что в 2025 году наблюдается уменьшение фина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сирования по всем направлениям расходов, это объясняется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начало года были доведены сметные назначения меньше в сравнении с 2024 годом.</w:t>
      </w:r>
    </w:p>
    <w:p w:rsidR="00274B65" w:rsidRDefault="005C167D">
      <w:pPr>
        <w:tabs>
          <w:tab w:val="left" w:pos="660"/>
        </w:tabs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асходы на питание одного ребенка</w:t>
      </w:r>
    </w:p>
    <w:p w:rsidR="00274B65" w:rsidRDefault="00274B65">
      <w:pPr>
        <w:tabs>
          <w:tab w:val="left" w:pos="1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jc w:val="center"/>
        <w:tblLook w:val="04A0" w:firstRow="1" w:lastRow="0" w:firstColumn="1" w:lastColumn="0" w:noHBand="0" w:noVBand="1"/>
      </w:tblPr>
      <w:tblGrid>
        <w:gridCol w:w="4255"/>
        <w:gridCol w:w="1196"/>
        <w:gridCol w:w="1196"/>
        <w:gridCol w:w="1461"/>
        <w:gridCol w:w="1461"/>
      </w:tblGrid>
      <w:tr w:rsidR="00274B65">
        <w:trPr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74B65">
        <w:trPr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3 до 6 лет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225,93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372, 29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330,11</w:t>
            </w:r>
          </w:p>
        </w:tc>
      </w:tr>
      <w:tr w:rsidR="00274B65">
        <w:trPr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7 до 11 лет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344,05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374, 11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363,96</w:t>
            </w:r>
          </w:p>
        </w:tc>
      </w:tr>
      <w:tr w:rsidR="00274B65">
        <w:trPr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12 до 18 лет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354,17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410, 81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402,56</w:t>
            </w:r>
          </w:p>
        </w:tc>
      </w:tr>
      <w:tr w:rsidR="00274B65">
        <w:trPr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среднем на 1 ребенка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385, 73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left" w:pos="5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365,54</w:t>
            </w:r>
          </w:p>
        </w:tc>
      </w:tr>
    </w:tbl>
    <w:p w:rsidR="00274B65" w:rsidRDefault="00274B65">
      <w:pPr>
        <w:tabs>
          <w:tab w:val="left" w:pos="104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tabs>
          <w:tab w:val="left" w:pos="104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данные  таблицы, следует сделать вывод о том, что в текущем 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ду, по сравнению с 2024 годом, наблюдается не значительное уменьшение  стоимости п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тания на 6 % . Данная тенденция сложилась в результате сокращения норматива ко</w:t>
      </w:r>
      <w:r>
        <w:rPr>
          <w:rFonts w:ascii="Times New Roman" w:hAnsi="Times New Roman" w:cs="Times New Roman"/>
          <w:sz w:val="24"/>
          <w:szCs w:val="24"/>
        </w:rPr>
        <w:t>лич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койко – мест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24 до 16.</w:t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74B65" w:rsidRDefault="005C167D">
      <w:pPr>
        <w:tabs>
          <w:tab w:val="left" w:pos="6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Начисление заработной платы производится на основании Положения об оплате труда работников и на основании постановления Коллегии Администрации Кемеровской области от 24 марта 2011 г. № 119. </w:t>
      </w:r>
    </w:p>
    <w:p w:rsidR="00274B65" w:rsidRDefault="005C167D">
      <w:pPr>
        <w:tabs>
          <w:tab w:val="left" w:pos="6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74B65" w:rsidRDefault="00274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заработная плата</w:t>
      </w:r>
    </w:p>
    <w:tbl>
      <w:tblPr>
        <w:tblpPr w:leftFromText="180" w:rightFromText="180" w:vertAnchor="text" w:horzAnchor="margin" w:tblpXSpec="center" w:tblpY="150"/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9"/>
        <w:gridCol w:w="1424"/>
        <w:gridCol w:w="1501"/>
        <w:gridCol w:w="1489"/>
        <w:gridCol w:w="2053"/>
      </w:tblGrid>
      <w:tr w:rsidR="00274B6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2022 года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2023 года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2024 года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2025 года</w:t>
            </w:r>
          </w:p>
        </w:tc>
      </w:tr>
      <w:tr w:rsidR="00274B6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34 031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35 939, 00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41 913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39 203</w:t>
            </w:r>
          </w:p>
        </w:tc>
      </w:tr>
      <w:tr w:rsidR="00274B6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41 964, 00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37 764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57364</w:t>
            </w:r>
          </w:p>
        </w:tc>
      </w:tr>
      <w:tr w:rsidR="00274B6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Прочий персонал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32 239, 00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35453</w:t>
            </w:r>
          </w:p>
        </w:tc>
      </w:tr>
      <w:tr w:rsidR="00274B6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АУП в общем ФОТ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</w:tr>
    </w:tbl>
    <w:p w:rsidR="00274B65" w:rsidRDefault="005C167D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74B65" w:rsidRDefault="005C167D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Вывод: наблюдается снижение средней  заработной платы по некоторым  категор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ям, за исключением среднего медицинского персонала. Это связано с выполнением 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нейки роста. </w:t>
      </w:r>
    </w:p>
    <w:p w:rsidR="00274B65" w:rsidRDefault="005C167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заработной платы административно – управленческого персонала в общем фон</w:t>
      </w:r>
      <w:r>
        <w:rPr>
          <w:rFonts w:ascii="Times New Roman" w:hAnsi="Times New Roman" w:cs="Times New Roman"/>
          <w:sz w:val="24"/>
          <w:szCs w:val="24"/>
        </w:rPr>
        <w:t>де оплаты труда осталась на уровне прошлого года.</w:t>
      </w:r>
    </w:p>
    <w:p w:rsidR="00274B65" w:rsidRDefault="005C167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Доплата медицинским работникам до нормативного показателя в 2025 году сост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вила 290, 7 тыс. рублей. </w:t>
      </w:r>
    </w:p>
    <w:p w:rsidR="00274B65" w:rsidRDefault="005C167D">
      <w:pPr>
        <w:tabs>
          <w:tab w:val="left" w:pos="6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Минимальный размер оплаты труда составил 29172,0 руб. В связи с этим в учреждении  начисляет</w:t>
      </w:r>
      <w:r>
        <w:rPr>
          <w:rFonts w:ascii="Times New Roman" w:hAnsi="Times New Roman" w:cs="Times New Roman"/>
          <w:sz w:val="24"/>
          <w:szCs w:val="24"/>
        </w:rPr>
        <w:t xml:space="preserve">ся ежемесячно доплата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МРОТ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сумме 763579,23 рублей.</w:t>
      </w:r>
    </w:p>
    <w:p w:rsidR="00274B65" w:rsidRDefault="00274B65">
      <w:pPr>
        <w:spacing w:after="0"/>
        <w:ind w:firstLine="28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65" w:rsidRDefault="005C167D">
      <w:pPr>
        <w:spacing w:after="0"/>
        <w:ind w:firstLine="28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Стимулирование сотрудников</w:t>
      </w:r>
    </w:p>
    <w:p w:rsidR="00274B65" w:rsidRDefault="00274B6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2877"/>
        <w:gridCol w:w="1784"/>
        <w:gridCol w:w="1695"/>
        <w:gridCol w:w="1514"/>
        <w:gridCol w:w="1701"/>
      </w:tblGrid>
      <w:tr w:rsidR="00274B6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 месяцев 2022 года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 месяцев 2023 года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 месяцев 2024 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 месяцев 2025 года</w:t>
            </w:r>
          </w:p>
        </w:tc>
      </w:tr>
      <w:tr w:rsidR="00274B6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Сумма, направленная на стимулирование сотру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ников, всего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4 318 079,49</w:t>
            </w:r>
          </w:p>
          <w:p w:rsidR="00274B65" w:rsidRDefault="00274B6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(29 %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ФОТ)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4 320 591,23</w:t>
            </w:r>
          </w:p>
          <w:p w:rsidR="00274B65" w:rsidRDefault="00274B6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(27 %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ФОТ)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4 948 080,00</w:t>
            </w:r>
          </w:p>
          <w:p w:rsidR="00274B65" w:rsidRDefault="00274B6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(27 %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ФОТ)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3 423 834,76</w:t>
            </w:r>
          </w:p>
          <w:p w:rsidR="00274B65" w:rsidRDefault="00274B6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(27 %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ФОТ)</w:t>
            </w:r>
          </w:p>
        </w:tc>
      </w:tr>
      <w:tr w:rsidR="00274B65"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Разовая выплата</w:t>
            </w:r>
          </w:p>
          <w:p w:rsidR="00274B65" w:rsidRDefault="005C167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 нее доплата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естре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249 636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216 290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260 510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4B65"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B65" w:rsidRDefault="00274B6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148 677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164 924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186 510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290667</w:t>
            </w:r>
          </w:p>
        </w:tc>
      </w:tr>
      <w:tr w:rsidR="00274B6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Материальная поддержка к юбилейным датам и прочее.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100 959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51 366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74 000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4B6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Поощрительная выплата к профессиональным праздникам и за работу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учреждении.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157 224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175 495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264 634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4B65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Выплаты за качество,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тенсивность и высокие результаты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1 905 120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2 628 334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2 530 797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65" w:rsidRDefault="005C167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1 568934</w:t>
            </w:r>
          </w:p>
        </w:tc>
      </w:tr>
    </w:tbl>
    <w:p w:rsidR="00274B65" w:rsidRDefault="005C167D">
      <w:pPr>
        <w:ind w:left="-4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274B65" w:rsidRDefault="005C167D">
      <w:pPr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 «майскими» Указами Президента отдельным категориям сотрудникам установлена «линейка роста заработной платы». В нашем учреждении это медицинская сестра. Для этой должности установлен норматив заработной платы, который работодатель обязан вы</w:t>
      </w:r>
      <w:r>
        <w:rPr>
          <w:rFonts w:ascii="Times New Roman" w:hAnsi="Times New Roman" w:cs="Times New Roman"/>
          <w:sz w:val="24"/>
          <w:szCs w:val="24"/>
        </w:rPr>
        <w:t>полнять. Это тоже средства общего ФОТ. Ежегодно этот норматив растет. На отчетную дату норматив заработной платы медицинской сестры составляет 51 157, 71</w:t>
      </w:r>
    </w:p>
    <w:p w:rsidR="00274B65" w:rsidRDefault="00274B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потребления горюче - смазочных материалов.</w:t>
      </w:r>
    </w:p>
    <w:p w:rsidR="00274B65" w:rsidRDefault="005C167D">
      <w:pPr>
        <w:tabs>
          <w:tab w:val="left" w:pos="6960"/>
        </w:tabs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 ГСМ ведется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утвержденных норм. В смете учреждения изначально было запланировано 361 773,92 руб. Руководителем учреждения утверждены приказы «О нормах расхода топлива и смазочных материалов на летний период 2025 года»,  «О но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мах расхода топлива в зимний период». </w:t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 xml:space="preserve">ласно приказам установлена базовая норма расхода топлива 100 л/км пробега на автомобили в разное время года. </w:t>
      </w:r>
    </w:p>
    <w:p w:rsidR="00274B65" w:rsidRDefault="005C16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Расходование ГСМ</w:t>
      </w:r>
    </w:p>
    <w:tbl>
      <w:tblPr>
        <w:tblpPr w:leftFromText="180" w:rightFromText="180" w:vertAnchor="text" w:horzAnchor="margin" w:tblpXSpec="center" w:tblpY="367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772"/>
        <w:gridCol w:w="1518"/>
        <w:gridCol w:w="1731"/>
        <w:gridCol w:w="1980"/>
      </w:tblGrid>
      <w:tr w:rsidR="00274B65">
        <w:trPr>
          <w:trHeight w:val="6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2023 года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2024 года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2025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2025 года к 2024</w:t>
            </w:r>
          </w:p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(+/-руб.)</w:t>
            </w:r>
          </w:p>
        </w:tc>
      </w:tr>
      <w:tr w:rsidR="00274B65">
        <w:trPr>
          <w:trHeight w:val="32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Аи-92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274B65">
        <w:trPr>
          <w:trHeight w:val="42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- 3316</w:t>
            </w:r>
          </w:p>
        </w:tc>
      </w:tr>
      <w:tr w:rsidR="00274B65">
        <w:trPr>
          <w:trHeight w:val="32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409 943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281379,10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-128563,9</w:t>
            </w:r>
          </w:p>
        </w:tc>
      </w:tr>
      <w:tr w:rsidR="00274B65">
        <w:trPr>
          <w:trHeight w:val="30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4B65">
        <w:trPr>
          <w:trHeight w:val="30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pStyle w:val="aff8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274B65">
        <w:trPr>
          <w:trHeight w:val="32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11249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6637,50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tabs>
                <w:tab w:val="center" w:pos="8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- 4611,5</w:t>
            </w:r>
          </w:p>
        </w:tc>
      </w:tr>
    </w:tbl>
    <w:p w:rsidR="00274B65" w:rsidRDefault="00274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274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таблицы наблюдается уменьшение  расходов на ГСМ по сравнению с 2024 годом. Эта тенденция объясняется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бензин приобретался за счет бюджета спонсорских средств.</w:t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Уменьшение потребления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натуральном так и стоимостном выражении объясня</w:t>
      </w:r>
      <w:r>
        <w:rPr>
          <w:rFonts w:ascii="Times New Roman" w:hAnsi="Times New Roman" w:cs="Times New Roman"/>
          <w:sz w:val="24"/>
          <w:szCs w:val="24"/>
        </w:rPr>
        <w:t>ется и изменением в работе главного отделения Центра - социальной диагностики и реабилитации.</w:t>
      </w:r>
    </w:p>
    <w:p w:rsidR="00274B65" w:rsidRDefault="00274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количества зданий в учреждении (+ Новая 1) и прилегающей террит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рии также влечет за собой увеличение затрат на содержание, в том числе и ГСМ (очистка </w:t>
      </w:r>
      <w:r>
        <w:rPr>
          <w:rFonts w:ascii="Times New Roman" w:hAnsi="Times New Roman" w:cs="Times New Roman"/>
          <w:sz w:val="24"/>
          <w:szCs w:val="24"/>
        </w:rPr>
        <w:t>снега, вывоз мусора и прочее). Все хозяйственные работы осуществляется с помощью личного трактора истопника.</w:t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Учреждение имело трактор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- 30, но т.к. он находился в неисправном состоянии и обладал малой мощностью. Было принято решение списать с баланса учр</w:t>
      </w:r>
      <w:r>
        <w:rPr>
          <w:rFonts w:ascii="Times New Roman" w:hAnsi="Times New Roman" w:cs="Times New Roman"/>
          <w:sz w:val="24"/>
          <w:szCs w:val="24"/>
        </w:rPr>
        <w:t>еждения и снять с регистрационного учета по причине ветхости и износа.</w:t>
      </w:r>
    </w:p>
    <w:p w:rsidR="00274B65" w:rsidRDefault="00274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 потребления энергоресурсов.</w:t>
      </w:r>
    </w:p>
    <w:p w:rsidR="00274B65" w:rsidRDefault="00274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2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1668"/>
        <w:gridCol w:w="1476"/>
        <w:gridCol w:w="1464"/>
        <w:gridCol w:w="1404"/>
        <w:gridCol w:w="2087"/>
      </w:tblGrid>
      <w:tr w:rsidR="00274B65">
        <w:trPr>
          <w:trHeight w:val="63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2022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2023 года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2024 года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месяцев 2025года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Электроэнергия, Квт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47 131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102783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+ 55652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242 354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299 944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436 603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1087837,60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+ 651234,6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Теплоэнергия, Гкал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28, 8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47, 25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21, 313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20,302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- 1,011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276 502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97 345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107892,19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+ 10547,19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550, 97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599, 80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316, 45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497,55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+ 181,1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20 538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44 866,42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+ 24328,42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450, 0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613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+163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112 500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153250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+ 40750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Уголь, тонны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</w:tr>
      <w:tr w:rsidR="00274B65">
        <w:trPr>
          <w:trHeight w:val="52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25 725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55 211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66 253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103566,6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+37313,6</w:t>
            </w:r>
          </w:p>
        </w:tc>
      </w:tr>
    </w:tbl>
    <w:p w:rsidR="00274B65" w:rsidRDefault="00274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B65" w:rsidRDefault="005C167D">
      <w:pPr>
        <w:tabs>
          <w:tab w:val="left" w:pos="66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анализа данных вышеприведенной таблицы наблюдается увеличение расходов по всем показателям в стоимостном и количественном выражении, исключение составляет только затраты по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теплоэнергии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274B65" w:rsidRDefault="005C167D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Уменьшение затрат по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теплоэнергии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объясняется тем, что в учреждении был уст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новлен теплый плинтус и тепловая энергия для отопления учреждения поставщиком не поставлялась. Счета за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теплоэнергию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выставляют только за кабинет бухгалтерии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оветская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15) и гараж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пер.Юбилейный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74B65" w:rsidRDefault="005C167D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устройства системы «Теплый плинтус» связана с тем, что сменился собственник коммунального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хозяйства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он не взял на обслуживание три убыточных 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онных котельных, в том числе и котельную в д. Ольговка.</w:t>
      </w:r>
    </w:p>
    <w:p w:rsidR="00274B65" w:rsidRDefault="005C167D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районе  это первое учреждение оборудованное систе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мой «Теплый плинтус».</w:t>
      </w:r>
    </w:p>
    <w:p w:rsidR="00274B65" w:rsidRDefault="005C167D">
      <w:pPr>
        <w:tabs>
          <w:tab w:val="left" w:pos="66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Поскольку это система электрическая, возросли расходы Центра по оплате за эле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троэнергию. </w:t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расходов на приобретение твердого топлива не значителен.</w:t>
      </w:r>
    </w:p>
    <w:p w:rsidR="00274B65" w:rsidRDefault="005C16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расходов на вывоз жидких бытовых отходов объясняется увеличением колич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ства </w:t>
      </w:r>
      <w:r>
        <w:rPr>
          <w:rFonts w:ascii="Times New Roman" w:hAnsi="Times New Roman" w:cs="Times New Roman"/>
          <w:sz w:val="24"/>
          <w:szCs w:val="24"/>
        </w:rPr>
        <w:t>воспитанников, находящихся в учреждении, а также поступлением сточных вод в 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lastRenderedPageBreak/>
        <w:t>нализационную яму. Периодичность откачивания увеличилась с 1 раза в 10 дней до 1 раза в неделю, в течение года.</w:t>
      </w:r>
    </w:p>
    <w:p w:rsidR="00274B65" w:rsidRDefault="00274B6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4B65" w:rsidRDefault="00274B6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4B65" w:rsidRDefault="005C16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финансирование</w:t>
      </w:r>
    </w:p>
    <w:p w:rsidR="00274B65" w:rsidRDefault="005C167D">
      <w:pPr>
        <w:spacing w:after="0" w:line="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за период 2020 – 2025 годы </w:t>
      </w:r>
    </w:p>
    <w:p w:rsidR="00274B65" w:rsidRDefault="00274B6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08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404"/>
        <w:gridCol w:w="1464"/>
        <w:gridCol w:w="1416"/>
        <w:gridCol w:w="1464"/>
        <w:gridCol w:w="1714"/>
      </w:tblGrid>
      <w:tr w:rsidR="00274B65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мес.)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мес.)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мес.)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мес.)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мес.)</w:t>
            </w:r>
          </w:p>
        </w:tc>
      </w:tr>
      <w:tr w:rsidR="00274B65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5C167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благотвор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помощи</w:t>
            </w:r>
          </w:p>
          <w:p w:rsidR="00274B65" w:rsidRDefault="00274B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404 813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494 071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775 230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541 800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5" w:rsidRDefault="00274B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65" w:rsidRDefault="005C16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319 375</w:t>
            </w:r>
          </w:p>
        </w:tc>
      </w:tr>
    </w:tbl>
    <w:p w:rsidR="00274B65" w:rsidRDefault="005C167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B65" w:rsidRDefault="005C16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74B6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7D" w:rsidRDefault="005C167D">
      <w:pPr>
        <w:spacing w:after="0" w:line="240" w:lineRule="auto"/>
      </w:pPr>
      <w:r>
        <w:separator/>
      </w:r>
    </w:p>
  </w:endnote>
  <w:endnote w:type="continuationSeparator" w:id="0">
    <w:p w:rsidR="005C167D" w:rsidRDefault="005C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7D" w:rsidRDefault="005C167D">
      <w:pPr>
        <w:spacing w:after="0" w:line="240" w:lineRule="auto"/>
      </w:pPr>
      <w:r>
        <w:separator/>
      </w:r>
    </w:p>
  </w:footnote>
  <w:footnote w:type="continuationSeparator" w:id="0">
    <w:p w:rsidR="005C167D" w:rsidRDefault="005C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3A81"/>
    <w:multiLevelType w:val="multilevel"/>
    <w:tmpl w:val="696022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7C98"/>
    <w:multiLevelType w:val="multilevel"/>
    <w:tmpl w:val="5F82596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AA63698"/>
    <w:multiLevelType w:val="multilevel"/>
    <w:tmpl w:val="493E53D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86D287B"/>
    <w:multiLevelType w:val="multilevel"/>
    <w:tmpl w:val="6D54CC2A"/>
    <w:lvl w:ilvl="0">
      <w:start w:val="1"/>
      <w:numFmt w:val="decimal"/>
      <w:lvlText w:val="%1."/>
      <w:lvlJc w:val="left"/>
      <w:pPr>
        <w:tabs>
          <w:tab w:val="left" w:pos="720"/>
        </w:tabs>
        <w:ind w:left="30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>
    <w:nsid w:val="5E9B35C3"/>
    <w:multiLevelType w:val="multilevel"/>
    <w:tmpl w:val="7C24094E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73D469C3"/>
    <w:multiLevelType w:val="multilevel"/>
    <w:tmpl w:val="49EE813E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㙄汔ನý䴥얗ຬ끂汗耀Ίɒನý'끎汗লǚ8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㙄汔ನý䴥얗ຬ끂汗耀Ίɒನý'끎汗ఉǚ8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㙄汔ನý䴥얗ຬ끂汗耀Ίɒನý'끎汗๤ǚ8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㙄汔ನý䴥얗ຬ끂汗耀Ίɒನý'끎汗Ⴟǚ8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㙄汔ನý䴥얗ຬ끂汗耀Ίɒನý'끎汗ጚǚ8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㙄汔ನý䴥얗ຬ끂汗耀Ίɒನý'끎汗ᕵǚ8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㙄汔ನý䴥얗ຬ끂汗耀Ίɒನý'끎汗័ǚ8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㙄汔ನý䴥얗ຬ끂汗耀Ίɒನý'끎汗ᨫǚ8"/>
      <w:lvlJc w:val="left"/>
      <w:pPr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65"/>
    <w:rsid w:val="00274B65"/>
    <w:rsid w:val="00504AD0"/>
    <w:rsid w:val="005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a">
    <w:name w:val="Hyperlink"/>
    <w:basedOn w:val="a0"/>
    <w:semiHidden/>
    <w:unhideWhenUsed/>
    <w:qFormat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header"/>
    <w:basedOn w:val="a"/>
    <w:link w:val="afe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Верхний колонтитул Знак"/>
    <w:basedOn w:val="a0"/>
    <w:link w:val="afd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er"/>
    <w:basedOn w:val="a"/>
    <w:link w:val="aff0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2">
    <w:name w:val="Body Text"/>
    <w:basedOn w:val="a"/>
    <w:link w:val="aff3"/>
    <w:uiPriority w:val="99"/>
    <w:semiHidden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qFormat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qFormat/>
    <w:rPr>
      <w:rFonts w:eastAsiaTheme="minorEastAsia"/>
      <w:lang w:eastAsia="ru-RU"/>
    </w:rPr>
  </w:style>
  <w:style w:type="paragraph" w:styleId="aff4">
    <w:name w:val="Plain Text"/>
    <w:basedOn w:val="a"/>
    <w:link w:val="aff5"/>
    <w:uiPriority w:val="99"/>
    <w:semiHidden/>
    <w:unhideWhenUsed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semiHidden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23c107">
    <w:name w:val="c23 c107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extended-textfull">
    <w:name w:val="extended-text__full"/>
    <w:uiPriority w:val="99"/>
    <w:qFormat/>
    <w:rPr>
      <w:rFonts w:ascii="Times New Roman" w:hAnsi="Times New Roman" w:cs="Times New Roman" w:hint="default"/>
    </w:rPr>
  </w:style>
  <w:style w:type="table" w:styleId="aff9">
    <w:name w:val="Table Grid"/>
    <w:basedOn w:val="a1"/>
    <w:uiPriority w:val="39"/>
    <w:qFormat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a">
    <w:name w:val="Hyperlink"/>
    <w:basedOn w:val="a0"/>
    <w:semiHidden/>
    <w:unhideWhenUsed/>
    <w:qFormat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header"/>
    <w:basedOn w:val="a"/>
    <w:link w:val="afe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Верхний колонтитул Знак"/>
    <w:basedOn w:val="a0"/>
    <w:link w:val="afd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er"/>
    <w:basedOn w:val="a"/>
    <w:link w:val="aff0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2">
    <w:name w:val="Body Text"/>
    <w:basedOn w:val="a"/>
    <w:link w:val="aff3"/>
    <w:uiPriority w:val="99"/>
    <w:semiHidden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qFormat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qFormat/>
    <w:rPr>
      <w:rFonts w:eastAsiaTheme="minorEastAsia"/>
      <w:lang w:eastAsia="ru-RU"/>
    </w:rPr>
  </w:style>
  <w:style w:type="paragraph" w:styleId="aff4">
    <w:name w:val="Plain Text"/>
    <w:basedOn w:val="a"/>
    <w:link w:val="aff5"/>
    <w:uiPriority w:val="99"/>
    <w:semiHidden/>
    <w:unhideWhenUsed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semiHidden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23c107">
    <w:name w:val="c23 c107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extended-textfull">
    <w:name w:val="extended-text__full"/>
    <w:uiPriority w:val="99"/>
    <w:qFormat/>
    <w:rPr>
      <w:rFonts w:ascii="Times New Roman" w:hAnsi="Times New Roman" w:cs="Times New Roman" w:hint="default"/>
    </w:rPr>
  </w:style>
  <w:style w:type="table" w:styleId="aff9">
    <w:name w:val="Table Grid"/>
    <w:basedOn w:val="a1"/>
    <w:uiPriority w:val="39"/>
    <w:qFormat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1744</Words>
  <Characters>9946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8</cp:revision>
  <dcterms:created xsi:type="dcterms:W3CDTF">2025-12-24T06:50:00Z</dcterms:created>
  <dcterms:modified xsi:type="dcterms:W3CDTF">2026-01-12T08:36:00Z</dcterms:modified>
</cp:coreProperties>
</file>